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76F1" w:rsidRPr="009321A8" w:rsidRDefault="003E76F1" w:rsidP="00AC36F9">
      <w:pPr>
        <w:pStyle w:val="Heading1"/>
        <w:spacing w:after="0"/>
        <w:rPr>
          <w:rFonts w:ascii="Times New Roman" w:hAnsi="Times New Roman" w:cs="Times New Roman"/>
          <w:b w:val="0"/>
          <w:bCs w:val="0"/>
        </w:rPr>
      </w:pPr>
      <w:bookmarkStart w:id="0" w:name="_Toc402498871"/>
      <w:bookmarkStart w:id="1" w:name="_Toc464365245"/>
      <w:r w:rsidRPr="009321A8">
        <w:rPr>
          <w:rFonts w:ascii="Times New Roman" w:hAnsi="Times New Roman" w:cs="Times New Roman"/>
        </w:rPr>
        <w:t xml:space="preserve">Soins Infirmiers Fondamentaux </w:t>
      </w:r>
      <w:r w:rsidRPr="009321A8">
        <w:rPr>
          <w:rFonts w:ascii="Times New Roman" w:hAnsi="Times New Roman" w:cs="Times New Roman"/>
        </w:rPr>
        <w:br/>
        <w:t>(</w:t>
      </w:r>
      <w:bookmarkEnd w:id="0"/>
      <w:r w:rsidR="00AC36F9">
        <w:rPr>
          <w:rFonts w:ascii="Times New Roman" w:hAnsi="Times New Roman" w:cs="Times New Roman"/>
        </w:rPr>
        <w:t>12</w:t>
      </w:r>
      <w:r w:rsidRPr="009321A8">
        <w:rPr>
          <w:rFonts w:ascii="Times New Roman" w:hAnsi="Times New Roman" w:cs="Times New Roman"/>
        </w:rPr>
        <w:t>0 periodes)</w:t>
      </w:r>
      <w:bookmarkEnd w:id="1"/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2" w:name="_Toc402498872"/>
      <w:r w:rsidRPr="009321A8">
        <w:rPr>
          <w:rFonts w:ascii="Times New Roman" w:hAnsi="Times New Roman" w:cs="Times New Roman"/>
        </w:rPr>
        <w:t>Objectif général</w:t>
      </w:r>
      <w:bookmarkEnd w:id="2"/>
    </w:p>
    <w:p w:rsidR="003E76F1" w:rsidRPr="009321A8" w:rsidRDefault="003E76F1">
      <w:pPr>
        <w:spacing w:before="0" w:after="0"/>
        <w:ind w:firstLine="720"/>
        <w:rPr>
          <w:rFonts w:ascii="Times New Roman" w:hAnsi="Times New Roman" w:cs="Times New Roman"/>
          <w:b/>
          <w:bCs/>
          <w:sz w:val="28"/>
          <w:szCs w:val="33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 xml:space="preserve">A la fin de cette unité, l’étudiant sera capable de prodiguer des soins infirmiers de base en tenant compte de l’approche globale de la personne soignée et des principes d'hygiène et d’asepsie. 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3" w:name="_Toc402498873"/>
      <w:r w:rsidRPr="009321A8">
        <w:rPr>
          <w:rFonts w:ascii="Times New Roman" w:hAnsi="Times New Roman" w:cs="Times New Roman"/>
        </w:rPr>
        <w:t>Objectifs d’Apprentissage</w:t>
      </w:r>
      <w:bookmarkEnd w:id="3"/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4" w:name="_Toc402498874"/>
      <w:r w:rsidRPr="009321A8">
        <w:rPr>
          <w:rFonts w:ascii="Times New Roman" w:hAnsi="Times New Roman" w:cs="Times New Roman"/>
          <w:lang w:eastAsia="fr-FR"/>
        </w:rPr>
        <w:t>1- Accueillir un malade dans un service de soins</w:t>
      </w:r>
      <w:bookmarkEnd w:id="4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Prépare l’environnement du malade,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 rôle des différents départements et services hospitaliers et extra hospitaliers,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reconnaît les différents comportements du malade vis-à-vis de sa maladie,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reçoit et installe un malade dans sa chambre,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explique au malade le système hospitalier,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institue et complète le dossier du malade,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accompagne le médecin durant la visite médicale,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enregistre les prescriptions,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5" w:name="_Toc402498875"/>
      <w:r w:rsidRPr="009321A8">
        <w:rPr>
          <w:rFonts w:ascii="Times New Roman" w:hAnsi="Times New Roman" w:cs="Times New Roman"/>
          <w:lang w:eastAsia="fr-FR"/>
        </w:rPr>
        <w:t>2- Planifier une démarche de soins suivant la théorie de V.H.</w:t>
      </w:r>
      <w:bookmarkEnd w:id="5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besoins, dépendance, indépendance,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fait une collecte de données (EHOP),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identifie les besoins fondamentaux,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formule les problèmes en fonction de la cause et de l’effet (diagnostic Infirmier),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identifie les objectifs de soins,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identifie les activités nécessaires,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identifie les critères d’évaluation.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6" w:name="_Toc402498876"/>
      <w:r w:rsidRPr="009321A8">
        <w:rPr>
          <w:rFonts w:ascii="Times New Roman" w:hAnsi="Times New Roman" w:cs="Times New Roman"/>
          <w:lang w:eastAsia="fr-FR"/>
        </w:rPr>
        <w:t>3- Pratiquer les soins infirmiers en suivant la démarche de soins</w:t>
      </w:r>
      <w:bookmarkEnd w:id="6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définit la terminologie reliée à chaque besoin,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pratique les techniques de soins relatives à chaque besoin,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respecte les principes scientifiques,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observe le malade.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7" w:name="_Toc402498877"/>
      <w:r w:rsidRPr="009321A8">
        <w:rPr>
          <w:rFonts w:ascii="Times New Roman" w:hAnsi="Times New Roman" w:cs="Times New Roman"/>
          <w:lang w:eastAsia="fr-FR"/>
        </w:rPr>
        <w:t>4- Transmettre oralement et par écrit les soins effectués:</w:t>
      </w:r>
      <w:bookmarkEnd w:id="7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utilise les principes de communication,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note les observations pertinentes(réactions, évolution),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tient à jour le dossier infirmier.</w:t>
      </w:r>
    </w:p>
    <w:p w:rsidR="003E76F1" w:rsidRPr="009321A8" w:rsidRDefault="003E76F1">
      <w:pPr>
        <w:spacing w:before="0" w:after="0"/>
        <w:ind w:left="284" w:hanging="284"/>
        <w:rPr>
          <w:rFonts w:ascii="Times New Roman" w:hAnsi="Times New Roman" w:cs="Times New Roman"/>
          <w:lang w:eastAsia="fr-FR"/>
        </w:rPr>
      </w:pPr>
      <w:bookmarkStart w:id="8" w:name="_Toc402498878"/>
      <w:r w:rsidRPr="009321A8">
        <w:rPr>
          <w:rFonts w:ascii="Times New Roman" w:hAnsi="Times New Roman" w:cs="Times New Roman"/>
          <w:lang w:eastAsia="fr-FR"/>
        </w:rPr>
        <w:t>5-</w:t>
      </w:r>
      <w:r w:rsidRPr="009321A8">
        <w:rPr>
          <w:rFonts w:ascii="Times New Roman" w:hAnsi="Times New Roman" w:cs="Times New Roman"/>
          <w:lang w:eastAsia="fr-FR"/>
        </w:rPr>
        <w:tab/>
        <w:t>Préparer le malade à sa sortie</w:t>
      </w:r>
      <w:bookmarkEnd w:id="8"/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informe le malade et sa famille du suivi,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prépare la fiche de sortie,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planifie les moyens de transport si nécessaire,</w:t>
      </w:r>
    </w:p>
    <w:p w:rsidR="003E76F1" w:rsidRPr="009321A8" w:rsidRDefault="003E76F1">
      <w:pPr>
        <w:numPr>
          <w:ilvl w:val="0"/>
          <w:numId w:val="14"/>
        </w:numPr>
        <w:tabs>
          <w:tab w:val="left" w:pos="567"/>
        </w:tabs>
        <w:spacing w:before="0" w:after="0"/>
        <w:ind w:left="720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donne les instructions nécessaire pour les soins à domicile.</w:t>
      </w:r>
    </w:p>
    <w:p w:rsidR="003E76F1" w:rsidRPr="009321A8" w:rsidRDefault="003E76F1">
      <w:pPr>
        <w:pStyle w:val="Heading2"/>
        <w:rPr>
          <w:rFonts w:ascii="Times New Roman" w:hAnsi="Times New Roman" w:cs="Times New Roman"/>
        </w:rPr>
      </w:pPr>
      <w:bookmarkStart w:id="9" w:name="_Toc402498879"/>
      <w:r w:rsidRPr="009321A8">
        <w:rPr>
          <w:rFonts w:ascii="Times New Roman" w:hAnsi="Times New Roman" w:cs="Times New Roman"/>
        </w:rPr>
        <w:t>Contenu</w:t>
      </w:r>
      <w:bookmarkEnd w:id="9"/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0" w:name="_Toc402498880"/>
      <w:r w:rsidRPr="009321A8">
        <w:rPr>
          <w:rFonts w:ascii="Times New Roman" w:hAnsi="Times New Roman" w:cs="Times New Roman"/>
          <w:u w:val="single"/>
        </w:rPr>
        <w:t>Chapitre 1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Introduction</w:t>
      </w:r>
      <w:bookmarkEnd w:id="10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1.1</w:t>
      </w:r>
      <w:r w:rsidRPr="009321A8">
        <w:rPr>
          <w:rFonts w:ascii="Times New Roman" w:hAnsi="Times New Roman" w:cs="Times New Roman"/>
          <w:lang w:eastAsia="fr-FR"/>
        </w:rPr>
        <w:tab/>
        <w:t>Définition: soins infirmiers, nursing, Rôle et comportement infirmier.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1.2</w:t>
      </w:r>
      <w:r w:rsidRPr="009321A8">
        <w:rPr>
          <w:rFonts w:ascii="Times New Roman" w:hAnsi="Times New Roman" w:cs="Times New Roman"/>
          <w:lang w:eastAsia="fr-FR"/>
        </w:rPr>
        <w:tab/>
        <w:t>L’hôpital, buts, Les différents départements: médicaux, para médicaux, administratifs.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1" w:name="_Toc402498881"/>
      <w:r w:rsidRPr="009321A8">
        <w:rPr>
          <w:rFonts w:ascii="Times New Roman" w:hAnsi="Times New Roman" w:cs="Times New Roman"/>
          <w:u w:val="single"/>
        </w:rPr>
        <w:br w:type="page"/>
      </w:r>
      <w:r w:rsidRPr="009321A8">
        <w:rPr>
          <w:rFonts w:ascii="Times New Roman" w:hAnsi="Times New Roman" w:cs="Times New Roman"/>
          <w:u w:val="single"/>
        </w:rPr>
        <w:lastRenderedPageBreak/>
        <w:t>Chapitre 2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Le malade</w:t>
      </w:r>
      <w:bookmarkEnd w:id="11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2.1</w:t>
      </w:r>
      <w:r w:rsidRPr="009321A8">
        <w:rPr>
          <w:rFonts w:ascii="Times New Roman" w:hAnsi="Times New Roman" w:cs="Times New Roman"/>
          <w:lang w:eastAsia="fr-FR"/>
        </w:rPr>
        <w:tab/>
        <w:t>Comportement vis à vis de la maladie, Comportement vis à vis de l’hôpital.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2.2</w:t>
      </w:r>
      <w:r w:rsidRPr="009321A8">
        <w:rPr>
          <w:rFonts w:ascii="Times New Roman" w:hAnsi="Times New Roman" w:cs="Times New Roman"/>
          <w:lang w:eastAsia="fr-FR"/>
        </w:rPr>
        <w:tab/>
        <w:t>Réponses à ses besoins.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2" w:name="_Toc402498882"/>
      <w:r w:rsidRPr="009321A8">
        <w:rPr>
          <w:rFonts w:ascii="Times New Roman" w:hAnsi="Times New Roman" w:cs="Times New Roman"/>
          <w:u w:val="single"/>
        </w:rPr>
        <w:t>Chapitre 3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Admission à l’hôpital</w:t>
      </w:r>
      <w:bookmarkEnd w:id="12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3.1</w:t>
      </w:r>
      <w:r w:rsidRPr="009321A8">
        <w:rPr>
          <w:rFonts w:ascii="Times New Roman" w:hAnsi="Times New Roman" w:cs="Times New Roman"/>
          <w:lang w:eastAsia="fr-FR"/>
        </w:rPr>
        <w:tab/>
        <w:t>Formalités administratives.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3.2</w:t>
      </w:r>
      <w:r w:rsidRPr="009321A8">
        <w:rPr>
          <w:rFonts w:ascii="Times New Roman" w:hAnsi="Times New Roman" w:cs="Times New Roman"/>
          <w:lang w:eastAsia="fr-FR"/>
        </w:rPr>
        <w:tab/>
        <w:t>Rôle de l’infirmière, Accueil et soins immédiats.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3.3</w:t>
      </w:r>
      <w:r w:rsidRPr="009321A8">
        <w:rPr>
          <w:rFonts w:ascii="Times New Roman" w:hAnsi="Times New Roman" w:cs="Times New Roman"/>
          <w:lang w:eastAsia="fr-FR"/>
        </w:rPr>
        <w:tab/>
        <w:t>Installation: préparation de la chambre, cadre, ambiance, matériel.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3" w:name="_Toc402498883"/>
      <w:r w:rsidRPr="009321A8">
        <w:rPr>
          <w:rFonts w:ascii="Times New Roman" w:hAnsi="Times New Roman" w:cs="Times New Roman"/>
          <w:u w:val="single"/>
        </w:rPr>
        <w:t>Chapitre 4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Visite médicale</w:t>
      </w:r>
      <w:bookmarkEnd w:id="13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4.1</w:t>
      </w:r>
      <w:r w:rsidRPr="009321A8">
        <w:rPr>
          <w:rFonts w:ascii="Times New Roman" w:hAnsi="Times New Roman" w:cs="Times New Roman"/>
          <w:lang w:eastAsia="fr-FR"/>
        </w:rPr>
        <w:tab/>
        <w:t>Préparation pour la visite: dossier, matériel, malade.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4.2</w:t>
      </w:r>
      <w:r w:rsidRPr="009321A8">
        <w:rPr>
          <w:rFonts w:ascii="Times New Roman" w:hAnsi="Times New Roman" w:cs="Times New Roman"/>
          <w:lang w:eastAsia="fr-FR"/>
        </w:rPr>
        <w:tab/>
        <w:t>Sémiologie: signes, symptômes, syndrome, diagnostic, pronostic, inspection, auscultation, palpation, percussion, signes vitaux.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4.3</w:t>
      </w:r>
      <w:r w:rsidRPr="009321A8">
        <w:rPr>
          <w:rFonts w:ascii="Times New Roman" w:hAnsi="Times New Roman" w:cs="Times New Roman"/>
          <w:lang w:eastAsia="fr-FR"/>
        </w:rPr>
        <w:tab/>
        <w:t>Rôle de l’infirmière pendant la visite,  après la visite.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4" w:name="_Toc402498884"/>
      <w:r w:rsidRPr="009321A8">
        <w:rPr>
          <w:rFonts w:ascii="Times New Roman" w:hAnsi="Times New Roman" w:cs="Times New Roman"/>
          <w:u w:val="single"/>
        </w:rPr>
        <w:t>Chapitre 5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>Examens et explorations diverses</w:t>
      </w:r>
      <w:bookmarkEnd w:id="14"/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5.1</w:t>
      </w:r>
      <w:r w:rsidRPr="009321A8">
        <w:rPr>
          <w:rFonts w:ascii="Times New Roman" w:hAnsi="Times New Roman" w:cs="Times New Roman"/>
          <w:lang w:eastAsia="fr-FR"/>
        </w:rPr>
        <w:tab/>
      </w:r>
      <w:proofErr w:type="spellStart"/>
      <w:r w:rsidRPr="009321A8">
        <w:rPr>
          <w:rFonts w:ascii="Times New Roman" w:hAnsi="Times New Roman" w:cs="Times New Roman"/>
          <w:lang w:eastAsia="fr-FR"/>
        </w:rPr>
        <w:t>Histo-pathologie</w:t>
      </w:r>
      <w:proofErr w:type="spellEnd"/>
      <w:r w:rsidRPr="009321A8">
        <w:rPr>
          <w:rFonts w:ascii="Times New Roman" w:hAnsi="Times New Roman" w:cs="Times New Roman"/>
          <w:lang w:eastAsia="fr-FR"/>
        </w:rPr>
        <w:t>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5.2</w:t>
      </w:r>
      <w:r w:rsidRPr="009321A8">
        <w:rPr>
          <w:rFonts w:ascii="Times New Roman" w:hAnsi="Times New Roman" w:cs="Times New Roman"/>
          <w:lang w:eastAsia="fr-FR"/>
        </w:rPr>
        <w:tab/>
        <w:t>Radiologie.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5.3</w:t>
      </w:r>
      <w:r w:rsidRPr="009321A8">
        <w:rPr>
          <w:rFonts w:ascii="Times New Roman" w:hAnsi="Times New Roman" w:cs="Times New Roman"/>
          <w:lang w:eastAsia="fr-FR"/>
        </w:rPr>
        <w:tab/>
        <w:t>Endoscopie.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5.4</w:t>
      </w:r>
      <w:r w:rsidRPr="009321A8">
        <w:rPr>
          <w:rFonts w:ascii="Times New Roman" w:hAnsi="Times New Roman" w:cs="Times New Roman"/>
          <w:lang w:eastAsia="fr-FR"/>
        </w:rPr>
        <w:tab/>
        <w:t>Scanner.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5.5</w:t>
      </w:r>
      <w:r w:rsidRPr="009321A8">
        <w:rPr>
          <w:rFonts w:ascii="Times New Roman" w:hAnsi="Times New Roman" w:cs="Times New Roman"/>
          <w:lang w:eastAsia="fr-FR"/>
        </w:rPr>
        <w:tab/>
        <w:t>Echographie.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5.6</w:t>
      </w:r>
      <w:r w:rsidRPr="009321A8">
        <w:rPr>
          <w:rFonts w:ascii="Times New Roman" w:hAnsi="Times New Roman" w:cs="Times New Roman"/>
          <w:lang w:eastAsia="fr-FR"/>
        </w:rPr>
        <w:tab/>
        <w:t>Scintigraphie.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5.7</w:t>
      </w:r>
      <w:r w:rsidRPr="009321A8">
        <w:rPr>
          <w:rFonts w:ascii="Times New Roman" w:hAnsi="Times New Roman" w:cs="Times New Roman"/>
          <w:lang w:eastAsia="fr-FR"/>
        </w:rPr>
        <w:tab/>
        <w:t>Ponctions.</w:t>
      </w:r>
    </w:p>
    <w:p w:rsidR="003E76F1" w:rsidRPr="009321A8" w:rsidRDefault="003E76F1">
      <w:pPr>
        <w:spacing w:before="0" w:after="0"/>
        <w:ind w:left="426" w:hanging="426"/>
        <w:rPr>
          <w:rFonts w:ascii="Times New Roman" w:hAnsi="Times New Roman" w:cs="Times New Roman"/>
          <w:lang w:eastAsia="fr-FR"/>
        </w:rPr>
      </w:pPr>
      <w:r w:rsidRPr="009321A8">
        <w:rPr>
          <w:rFonts w:ascii="Times New Roman" w:hAnsi="Times New Roman" w:cs="Times New Roman"/>
          <w:lang w:eastAsia="fr-FR"/>
        </w:rPr>
        <w:t>5.8</w:t>
      </w:r>
      <w:r w:rsidRPr="009321A8">
        <w:rPr>
          <w:rFonts w:ascii="Times New Roman" w:hAnsi="Times New Roman" w:cs="Times New Roman"/>
          <w:lang w:eastAsia="fr-FR"/>
        </w:rPr>
        <w:tab/>
        <w:t>IRM, etc.</w:t>
      </w:r>
    </w:p>
    <w:p w:rsidR="003E76F1" w:rsidRPr="009321A8" w:rsidRDefault="003E76F1">
      <w:pPr>
        <w:pStyle w:val="Title"/>
        <w:rPr>
          <w:rFonts w:ascii="Times New Roman" w:hAnsi="Times New Roman" w:cs="Times New Roman"/>
        </w:rPr>
      </w:pPr>
      <w:bookmarkStart w:id="15" w:name="_Toc402498885"/>
      <w:r w:rsidRPr="009321A8">
        <w:rPr>
          <w:rFonts w:ascii="Times New Roman" w:hAnsi="Times New Roman" w:cs="Times New Roman"/>
          <w:u w:val="single"/>
        </w:rPr>
        <w:t>Chapitre 6</w:t>
      </w:r>
      <w:r w:rsidRPr="009321A8">
        <w:rPr>
          <w:rFonts w:ascii="Times New Roman" w:hAnsi="Times New Roman" w:cs="Times New Roman"/>
          <w:u w:val="single"/>
        </w:rPr>
        <w:br/>
      </w:r>
      <w:r w:rsidRPr="009321A8">
        <w:rPr>
          <w:rFonts w:ascii="Times New Roman" w:hAnsi="Times New Roman" w:cs="Times New Roman"/>
        </w:rPr>
        <w:t xml:space="preserve"> Besoins fondamentaux</w:t>
      </w:r>
      <w:bookmarkEnd w:id="15"/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044"/>
        <w:gridCol w:w="968"/>
        <w:gridCol w:w="2708"/>
        <w:gridCol w:w="2708"/>
        <w:gridCol w:w="2708"/>
      </w:tblGrid>
      <w:tr w:rsidR="003E76F1" w:rsidRPr="009321A8">
        <w:trPr>
          <w:cantSplit/>
          <w:tblHeader/>
        </w:trPr>
        <w:tc>
          <w:tcPr>
            <w:tcW w:w="1044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shd w:val="pct20" w:color="auto" w:fill="auto"/>
          </w:tcPr>
          <w:p w:rsidR="003E76F1" w:rsidRPr="009321A8" w:rsidRDefault="003E76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  <w:t>Besoins</w:t>
            </w:r>
          </w:p>
        </w:tc>
        <w:tc>
          <w:tcPr>
            <w:tcW w:w="968" w:type="dxa"/>
            <w:tcBorders>
              <w:top w:val="double" w:sz="6" w:space="0" w:color="auto"/>
              <w:bottom w:val="double" w:sz="6" w:space="0" w:color="auto"/>
            </w:tcBorders>
            <w:shd w:val="pct20" w:color="auto" w:fill="auto"/>
          </w:tcPr>
          <w:p w:rsidR="003E76F1" w:rsidRPr="009321A8" w:rsidRDefault="003E76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  <w:t>Système</w:t>
            </w:r>
          </w:p>
        </w:tc>
        <w:tc>
          <w:tcPr>
            <w:tcW w:w="2708" w:type="dxa"/>
            <w:tcBorders>
              <w:top w:val="double" w:sz="6" w:space="0" w:color="auto"/>
              <w:bottom w:val="double" w:sz="6" w:space="0" w:color="auto"/>
            </w:tcBorders>
            <w:shd w:val="pct20" w:color="auto" w:fill="auto"/>
          </w:tcPr>
          <w:p w:rsidR="003E76F1" w:rsidRPr="009321A8" w:rsidRDefault="003E76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  <w:t>Théorie</w:t>
            </w:r>
          </w:p>
        </w:tc>
        <w:tc>
          <w:tcPr>
            <w:tcW w:w="2708" w:type="dxa"/>
            <w:tcBorders>
              <w:top w:val="double" w:sz="6" w:space="0" w:color="auto"/>
              <w:bottom w:val="double" w:sz="6" w:space="0" w:color="auto"/>
              <w:right w:val="double" w:sz="6" w:space="0" w:color="auto"/>
            </w:tcBorders>
            <w:shd w:val="pct20" w:color="auto" w:fill="auto"/>
          </w:tcPr>
          <w:p w:rsidR="003E76F1" w:rsidRPr="009321A8" w:rsidRDefault="003E76F1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  <w:t>Gestes techniques</w:t>
            </w:r>
          </w:p>
        </w:tc>
        <w:tc>
          <w:tcPr>
            <w:tcW w:w="2708" w:type="dxa"/>
            <w:vMerge w:val="restart"/>
            <w:tcBorders>
              <w:top w:val="double" w:sz="6" w:space="0" w:color="auto"/>
              <w:right w:val="double" w:sz="6" w:space="0" w:color="auto"/>
            </w:tcBorders>
            <w:shd w:val="pct20" w:color="auto" w:fill="auto"/>
            <w:textDirection w:val="tbRl"/>
            <w:vAlign w:val="center"/>
          </w:tcPr>
          <w:p w:rsidR="003E76F1" w:rsidRPr="009321A8" w:rsidRDefault="003E76F1">
            <w:pPr>
              <w:spacing w:before="120" w:after="12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b/>
                <w:bCs/>
                <w:sz w:val="18"/>
                <w:szCs w:val="21"/>
                <w:lang w:eastAsia="fr-FR"/>
              </w:rPr>
              <w:t>Exploration qui confirment le diagnostic</w:t>
            </w: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top w:val="nil"/>
              <w:left w:val="double" w:sz="6" w:space="0" w:color="auto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Respirer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Respiratoire</w:t>
            </w:r>
          </w:p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Cardio-vasculaire</w:t>
            </w:r>
          </w:p>
        </w:tc>
        <w:tc>
          <w:tcPr>
            <w:tcW w:w="270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pStyle w:val="BodyText3"/>
              <w:rPr>
                <w:rFonts w:ascii="Times New Roman" w:hAnsi="Times New Roman" w:cs="Times New Roman"/>
              </w:rPr>
            </w:pPr>
            <w:r w:rsidRPr="009321A8">
              <w:rPr>
                <w:rFonts w:ascii="Times New Roman" w:hAnsi="Times New Roman" w:cs="Times New Roman"/>
              </w:rPr>
              <w:t>Définition : angoisse, cyanose, tirage, toux, expectoration, hémoptysie, facteurs biologiques, psychologiques et sociologiques.</w:t>
            </w:r>
          </w:p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 xml:space="preserve">Tachycardie, bradycardie, palpitation, </w:t>
            </w:r>
            <w:proofErr w:type="spellStart"/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oedème</w:t>
            </w:r>
            <w:proofErr w:type="spellEnd"/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, insuffisance cardiaque,</w:t>
            </w:r>
          </w:p>
        </w:tc>
        <w:tc>
          <w:tcPr>
            <w:tcW w:w="2708" w:type="dxa"/>
            <w:tcBorders>
              <w:top w:val="nil"/>
              <w:bottom w:val="nil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Inhalation, Aérosols, gouttes nasales, Oxygénothérapie, Exercices respiratoire, Pouls, TA, Position au lit, Analyse de laboratoire, Principes et prélèvements, surveillance cardiaque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lef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Manger et Boire</w:t>
            </w:r>
          </w:p>
        </w:tc>
        <w:tc>
          <w:tcPr>
            <w:tcW w:w="96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Digestif, métabolique</w:t>
            </w:r>
          </w:p>
        </w:tc>
        <w:tc>
          <w:tcPr>
            <w:tcW w:w="270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Différents types de douleur, troubles de l’appétit, habitudes alimentaires, coutumes, hydratation,  boissons, nausées, vomissement, troubles du transit intestinal, habitudes</w:t>
            </w:r>
          </w:p>
        </w:tc>
        <w:tc>
          <w:tcPr>
            <w:tcW w:w="2708" w:type="dxa"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 xml:space="preserve">Soins de bouche et de dents, soin de prothèses dentaires, Sonde gastrique, lavage, gavage, surveillance, nutrition alimentation, Perfusions, hydratation, 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top w:val="nil"/>
              <w:left w:val="double" w:sz="6" w:space="0" w:color="auto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Eliminer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Gastro-intestinal</w:t>
            </w:r>
          </w:p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Urinaire</w:t>
            </w:r>
          </w:p>
        </w:tc>
        <w:tc>
          <w:tcPr>
            <w:tcW w:w="270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 xml:space="preserve">Définition, troubles de la miction et du transit intestinal, coliques, habitudes,  diurèse, </w:t>
            </w:r>
            <w:proofErr w:type="spellStart"/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ostomies</w:t>
            </w:r>
            <w:proofErr w:type="spellEnd"/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 xml:space="preserve">, incontinence, </w:t>
            </w:r>
          </w:p>
        </w:tc>
        <w:tc>
          <w:tcPr>
            <w:tcW w:w="2708" w:type="dxa"/>
            <w:tcBorders>
              <w:top w:val="nil"/>
              <w:bottom w:val="nil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Offre du bassin, de l ‘urinal, suppositoires, lavement, sonde rectale, collecte des urines, sonde urinaire, diurèse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lef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Maintenir la température</w:t>
            </w:r>
          </w:p>
        </w:tc>
        <w:tc>
          <w:tcPr>
            <w:tcW w:w="96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Centre régulateur</w:t>
            </w:r>
          </w:p>
        </w:tc>
        <w:tc>
          <w:tcPr>
            <w:tcW w:w="270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Métabolisme, température, hypothermie, hyperthermie, les maladies infectieuses, variations pathologiques.</w:t>
            </w:r>
          </w:p>
        </w:tc>
        <w:tc>
          <w:tcPr>
            <w:tcW w:w="2708" w:type="dxa"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Signes vitaux, application de chaud et froid, (bouillotte, vessie de glace,  bain, compresses), feuille de température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top w:val="nil"/>
              <w:left w:val="double" w:sz="6" w:space="0" w:color="auto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lastRenderedPageBreak/>
              <w:t>Etre propre et protéger ses téguments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Peau</w:t>
            </w:r>
          </w:p>
        </w:tc>
        <w:tc>
          <w:tcPr>
            <w:tcW w:w="270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 xml:space="preserve">Asepsie, désinfection, stérilisation, cicatrisation, type de blessures, les brûlures, évaluation d’une brûlure, les pansements, préparation pré opératoire, immobilisation au lit, Déshydratation, </w:t>
            </w:r>
            <w:proofErr w:type="spellStart"/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oedème</w:t>
            </w:r>
            <w:proofErr w:type="spellEnd"/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, couches de la peau, transpiration, soins dermiques, prurit, inflammation, Parasitose.</w:t>
            </w:r>
          </w:p>
        </w:tc>
        <w:tc>
          <w:tcPr>
            <w:tcW w:w="2708" w:type="dxa"/>
            <w:tcBorders>
              <w:top w:val="nil"/>
              <w:bottom w:val="nil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 xml:space="preserve">Pansements simple et spécial, soins pré et post opératoire application de pommade et traitement dermique. </w:t>
            </w:r>
          </w:p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Soins d’hygiène, toilette, bain, soins de bouche, des yeux, collyre, capillaire, pieds,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lef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lastRenderedPageBreak/>
              <w:t>Eviter les dangers</w:t>
            </w:r>
          </w:p>
        </w:tc>
        <w:tc>
          <w:tcPr>
            <w:tcW w:w="96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Psychique</w:t>
            </w:r>
          </w:p>
        </w:tc>
        <w:tc>
          <w:tcPr>
            <w:tcW w:w="270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Protection du malade et de son environnement, explications au malade, utilisation de mesures diverses pour protéger le malade.</w:t>
            </w:r>
          </w:p>
        </w:tc>
        <w:tc>
          <w:tcPr>
            <w:tcW w:w="2708" w:type="dxa"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Comment protéger les malades.  Expliquer aux malades. Maintien de l’asepsie. Environnement protégé, préparation des médicaments, transfusion, injections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top w:val="nil"/>
              <w:left w:val="double" w:sz="6" w:space="0" w:color="auto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Communiquer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Les sens et le psychique</w:t>
            </w:r>
          </w:p>
        </w:tc>
        <w:tc>
          <w:tcPr>
            <w:tcW w:w="270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Principes de communication.  Facteurs influençant la communication, les problèmes physiques et psychiques, le stress.</w:t>
            </w:r>
          </w:p>
        </w:tc>
        <w:tc>
          <w:tcPr>
            <w:tcW w:w="2708" w:type="dxa"/>
            <w:tcBorders>
              <w:top w:val="nil"/>
              <w:bottom w:val="nil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Communication avec les malades âgés, les malades ayant des troubles des sens, de la communication, langue étrangère, les enfants.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lef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de se mouvoir</w:t>
            </w:r>
          </w:p>
        </w:tc>
        <w:tc>
          <w:tcPr>
            <w:tcW w:w="96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locomoteur</w:t>
            </w:r>
          </w:p>
        </w:tc>
        <w:tc>
          <w:tcPr>
            <w:tcW w:w="270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Facteurs biologiques: âge, la croissance, les capacités physiques, les émotions, la personnalité, facteurs sociologique.</w:t>
            </w:r>
          </w:p>
        </w:tc>
        <w:tc>
          <w:tcPr>
            <w:tcW w:w="2708" w:type="dxa"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Premier lever, exercices passifs et actifs, aide aux handicapés, préventions des complications, mobilisation des malades. Différentes positions, prévention d’escarres soins d’escarres.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top w:val="nil"/>
              <w:left w:val="double" w:sz="6" w:space="0" w:color="auto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Dormir et se reposer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psychique</w:t>
            </w:r>
          </w:p>
        </w:tc>
        <w:tc>
          <w:tcPr>
            <w:tcW w:w="270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Centre du sommeil, insomnie, facteurs influençant le sommeil et le repos.  L’effet de la douleur</w:t>
            </w:r>
          </w:p>
        </w:tc>
        <w:tc>
          <w:tcPr>
            <w:tcW w:w="2708" w:type="dxa"/>
            <w:tcBorders>
              <w:top w:val="nil"/>
              <w:bottom w:val="nil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Exercices de relaxation, préparation de l’environnement, mesures  pour encourager le sommeil et le repos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lef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se vêtir et se dévêtir</w:t>
            </w:r>
          </w:p>
        </w:tc>
        <w:tc>
          <w:tcPr>
            <w:tcW w:w="96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psychologique</w:t>
            </w:r>
          </w:p>
        </w:tc>
        <w:tc>
          <w:tcPr>
            <w:tcW w:w="270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L’âge, les activités, les croyances, les émotions, le climat, le statut social, l’emploi, la culture</w:t>
            </w:r>
          </w:p>
        </w:tc>
        <w:tc>
          <w:tcPr>
            <w:tcW w:w="2708" w:type="dxa"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 xml:space="preserve">Respecter la pudeur, couvrir le malade suivant son âge, encourager l’indépendance, vêtir selon ses capacités, maintenir la température corporelle 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top w:val="nil"/>
              <w:left w:val="double" w:sz="6" w:space="0" w:color="auto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Agir selon ses croyances</w:t>
            </w:r>
          </w:p>
        </w:tc>
        <w:tc>
          <w:tcPr>
            <w:tcW w:w="96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spirituel</w:t>
            </w:r>
          </w:p>
        </w:tc>
        <w:tc>
          <w:tcPr>
            <w:tcW w:w="2708" w:type="dxa"/>
            <w:tcBorders>
              <w:top w:val="nil"/>
              <w:bottom w:val="nil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Les gestes et les attitudes corporels, la recherche d’un sens à la vie et à la mort, les émotions, l’appartenance religieuse, la culture</w:t>
            </w:r>
          </w:p>
        </w:tc>
        <w:tc>
          <w:tcPr>
            <w:tcW w:w="2708" w:type="dxa"/>
            <w:tcBorders>
              <w:top w:val="nil"/>
              <w:bottom w:val="nil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Aider le malade à agir selon ses croyances, respecter le rituel des malades dans leurs gestes et leur pratique religieuse dans la souffrance et la mort, soins palliatifs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lef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s’occuper et se récréer</w:t>
            </w:r>
          </w:p>
        </w:tc>
        <w:tc>
          <w:tcPr>
            <w:tcW w:w="96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social</w:t>
            </w:r>
          </w:p>
        </w:tc>
        <w:tc>
          <w:tcPr>
            <w:tcW w:w="2708" w:type="dxa"/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L’âge, les capacités physiques, la culture, le rôle social, l’organisation sociale</w:t>
            </w:r>
          </w:p>
        </w:tc>
        <w:tc>
          <w:tcPr>
            <w:tcW w:w="2708" w:type="dxa"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Aider le malade à se distraire faire des exercices actifs, le mettre en contact avec d’autres malades ayant des intérêts similaires</w:t>
            </w:r>
          </w:p>
        </w:tc>
        <w:tc>
          <w:tcPr>
            <w:tcW w:w="2708" w:type="dxa"/>
            <w:vMerge/>
            <w:tcBorders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  <w:tr w:rsidR="003E76F1" w:rsidRPr="009321A8">
        <w:trPr>
          <w:cantSplit/>
        </w:trPr>
        <w:tc>
          <w:tcPr>
            <w:tcW w:w="1044" w:type="dxa"/>
            <w:tcBorders>
              <w:top w:val="nil"/>
              <w:left w:val="double" w:sz="6" w:space="0" w:color="auto"/>
              <w:bottom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Apprendre</w:t>
            </w:r>
          </w:p>
        </w:tc>
        <w:tc>
          <w:tcPr>
            <w:tcW w:w="968" w:type="dxa"/>
            <w:tcBorders>
              <w:top w:val="nil"/>
              <w:bottom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Social</w:t>
            </w:r>
          </w:p>
        </w:tc>
        <w:tc>
          <w:tcPr>
            <w:tcW w:w="2708" w:type="dxa"/>
            <w:tcBorders>
              <w:top w:val="nil"/>
              <w:bottom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Facteurs influençant le besoin d’apprendre</w:t>
            </w:r>
          </w:p>
        </w:tc>
        <w:tc>
          <w:tcPr>
            <w:tcW w:w="2708" w:type="dxa"/>
            <w:tcBorders>
              <w:top w:val="nil"/>
              <w:bottom w:val="double" w:sz="6" w:space="0" w:color="auto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Education du malade et de la famille</w:t>
            </w:r>
          </w:p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  <w:r w:rsidRPr="009321A8">
              <w:rPr>
                <w:rFonts w:ascii="Times New Roman" w:hAnsi="Times New Roman" w:cs="Times New Roman"/>
                <w:sz w:val="18"/>
                <w:szCs w:val="21"/>
                <w:lang w:eastAsia="fr-FR"/>
              </w:rPr>
              <w:t>Explication des gestes et techniques à effectuer</w:t>
            </w:r>
          </w:p>
        </w:tc>
        <w:tc>
          <w:tcPr>
            <w:tcW w:w="2708" w:type="dxa"/>
            <w:vMerge/>
            <w:tcBorders>
              <w:bottom w:val="double" w:sz="6" w:space="0" w:color="auto"/>
              <w:right w:val="double" w:sz="6" w:space="0" w:color="auto"/>
            </w:tcBorders>
          </w:tcPr>
          <w:p w:rsidR="003E76F1" w:rsidRPr="009321A8" w:rsidRDefault="003E76F1">
            <w:pPr>
              <w:spacing w:before="0" w:after="0"/>
              <w:jc w:val="left"/>
              <w:rPr>
                <w:rFonts w:ascii="Times New Roman" w:hAnsi="Times New Roman" w:cs="Times New Roman"/>
                <w:sz w:val="18"/>
                <w:szCs w:val="21"/>
                <w:lang w:eastAsia="fr-FR"/>
              </w:rPr>
            </w:pPr>
          </w:p>
        </w:tc>
      </w:tr>
    </w:tbl>
    <w:p w:rsidR="003E76F1" w:rsidRPr="009321A8" w:rsidRDefault="003E76F1">
      <w:pPr>
        <w:spacing w:before="0" w:after="0"/>
        <w:rPr>
          <w:rFonts w:ascii="Times New Roman" w:hAnsi="Times New Roman" w:cs="Times New Roman"/>
          <w:b/>
          <w:bCs/>
          <w:sz w:val="20"/>
          <w:szCs w:val="24"/>
          <w:lang w:eastAsia="fr-FR"/>
        </w:rPr>
      </w:pPr>
    </w:p>
    <w:p w:rsidR="003E76F1" w:rsidRPr="009321A8" w:rsidRDefault="003E76F1">
      <w:pPr>
        <w:spacing w:before="0" w:after="0"/>
        <w:ind w:left="3901" w:hanging="1021"/>
        <w:rPr>
          <w:rFonts w:ascii="Times New Roman" w:hAnsi="Times New Roman" w:cs="Times New Roman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b/>
          <w:bCs/>
          <w:sz w:val="20"/>
          <w:szCs w:val="24"/>
          <w:lang w:eastAsia="fr-FR"/>
        </w:rPr>
        <w:sectPr w:rsidR="003E76F1" w:rsidRPr="009321A8">
          <w:headerReference w:type="default" r:id="rId8"/>
          <w:endnotePr>
            <w:numFmt w:val="lowerLetter"/>
          </w:endnotePr>
          <w:type w:val="continuous"/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b/>
          <w:bCs/>
          <w:sz w:val="20"/>
          <w:szCs w:val="24"/>
          <w:lang w:eastAsia="fr-FR"/>
        </w:rPr>
      </w:pPr>
    </w:p>
    <w:p w:rsidR="003E76F1" w:rsidRPr="009321A8" w:rsidRDefault="003E76F1">
      <w:pPr>
        <w:spacing w:before="0" w:after="0"/>
        <w:rPr>
          <w:rFonts w:ascii="Times New Roman" w:hAnsi="Times New Roman" w:cs="Times New Roman"/>
          <w:b/>
          <w:bCs/>
          <w:sz w:val="20"/>
          <w:szCs w:val="24"/>
          <w:lang w:eastAsia="fr-FR"/>
        </w:rPr>
      </w:pPr>
    </w:p>
    <w:p w:rsidR="004221CB" w:rsidRPr="009321A8" w:rsidRDefault="004221CB" w:rsidP="00EF301E">
      <w:pPr>
        <w:spacing w:before="0" w:after="0"/>
        <w:rPr>
          <w:rFonts w:ascii="Times New Roman" w:hAnsi="Times New Roman" w:cs="Times New Roman"/>
          <w:lang w:eastAsia="fr-FR"/>
        </w:rPr>
      </w:pPr>
      <w:bookmarkStart w:id="16" w:name="_GoBack"/>
      <w:bookmarkEnd w:id="16"/>
    </w:p>
    <w:sectPr w:rsidR="004221CB" w:rsidRPr="009321A8" w:rsidSect="00B83DC8">
      <w:headerReference w:type="default" r:id="rId9"/>
      <w:endnotePr>
        <w:numFmt w:val="lowerLetter"/>
      </w:endnotePr>
      <w:type w:val="continuous"/>
      <w:pgSz w:w="11907" w:h="16840" w:code="9"/>
      <w:pgMar w:top="1418" w:right="851" w:bottom="1134" w:left="1134" w:header="567" w:footer="567" w:gutter="0"/>
      <w:paperSrc w:first="8242" w:other="824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2999" w:rsidRDefault="00142999">
      <w:r>
        <w:separator/>
      </w:r>
    </w:p>
  </w:endnote>
  <w:endnote w:type="continuationSeparator" w:id="0">
    <w:p w:rsidR="00142999" w:rsidRDefault="001429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2999" w:rsidRDefault="00142999">
      <w:r>
        <w:separator/>
      </w:r>
    </w:p>
  </w:footnote>
  <w:footnote w:type="continuationSeparator" w:id="0">
    <w:p w:rsidR="00142999" w:rsidRDefault="001429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1 - Soins infirmiers</w:t>
    </w:r>
  </w:p>
  <w:p w:rsidR="002C74D2" w:rsidRDefault="002C74D2">
    <w:pPr>
      <w:pStyle w:val="Header"/>
      <w:rPr>
        <w:lang w:eastAsia="fr-F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74D2" w:rsidRDefault="002C74D2" w:rsidP="00B37D1A">
    <w:pPr>
      <w:pStyle w:val="Heading6"/>
    </w:pPr>
    <w:r>
      <w:t>TS 1-Soins infirmiers</w:t>
    </w:r>
  </w:p>
  <w:p w:rsidR="002C74D2" w:rsidRDefault="002C74D2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 w15:restartNumberingAfterBreak="0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 w15:restartNumberingAfterBreak="0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 w15:restartNumberingAfterBreak="0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 w15:restartNumberingAfterBreak="0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 w15:restartNumberingAfterBreak="0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 w15:restartNumberingAfterBreak="0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 w15:restartNumberingAfterBreak="0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 w15:restartNumberingAfterBreak="0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 w15:restartNumberingAfterBreak="0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 w15:restartNumberingAfterBreak="0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 w15:restartNumberingAfterBreak="0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 w15:restartNumberingAfterBreak="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 w15:restartNumberingAfterBreak="0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 w15:restartNumberingAfterBreak="0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 w15:restartNumberingAfterBreak="0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 w15:restartNumberingAfterBreak="0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2"/>
  </w:compat>
  <w:rsids>
    <w:rsidRoot w:val="00720212"/>
    <w:rsid w:val="00025CB8"/>
    <w:rsid w:val="0002708E"/>
    <w:rsid w:val="00036E41"/>
    <w:rsid w:val="00081ED2"/>
    <w:rsid w:val="000A2A27"/>
    <w:rsid w:val="000B2D5C"/>
    <w:rsid w:val="000B7178"/>
    <w:rsid w:val="000D650A"/>
    <w:rsid w:val="000E0F0B"/>
    <w:rsid w:val="000E7340"/>
    <w:rsid w:val="00105377"/>
    <w:rsid w:val="00120E40"/>
    <w:rsid w:val="0013354C"/>
    <w:rsid w:val="00142999"/>
    <w:rsid w:val="001578FB"/>
    <w:rsid w:val="00160357"/>
    <w:rsid w:val="00170903"/>
    <w:rsid w:val="00186CF4"/>
    <w:rsid w:val="00190572"/>
    <w:rsid w:val="001B3BB9"/>
    <w:rsid w:val="001D4568"/>
    <w:rsid w:val="001E1E3E"/>
    <w:rsid w:val="001E30E8"/>
    <w:rsid w:val="0020760B"/>
    <w:rsid w:val="002142DF"/>
    <w:rsid w:val="002562AB"/>
    <w:rsid w:val="00264E52"/>
    <w:rsid w:val="00265636"/>
    <w:rsid w:val="002C74D2"/>
    <w:rsid w:val="002D2074"/>
    <w:rsid w:val="00301B6C"/>
    <w:rsid w:val="00340705"/>
    <w:rsid w:val="0034262F"/>
    <w:rsid w:val="0039666F"/>
    <w:rsid w:val="003A75C7"/>
    <w:rsid w:val="003C47DD"/>
    <w:rsid w:val="003C768B"/>
    <w:rsid w:val="003D5F89"/>
    <w:rsid w:val="003D6594"/>
    <w:rsid w:val="003E76F1"/>
    <w:rsid w:val="004221CB"/>
    <w:rsid w:val="0044006F"/>
    <w:rsid w:val="00456959"/>
    <w:rsid w:val="00457B8F"/>
    <w:rsid w:val="0046054A"/>
    <w:rsid w:val="00460AB7"/>
    <w:rsid w:val="00463DCD"/>
    <w:rsid w:val="004C4E17"/>
    <w:rsid w:val="00514469"/>
    <w:rsid w:val="005236FD"/>
    <w:rsid w:val="00524968"/>
    <w:rsid w:val="005A72A9"/>
    <w:rsid w:val="005B331E"/>
    <w:rsid w:val="005C46A4"/>
    <w:rsid w:val="005E149B"/>
    <w:rsid w:val="00647E64"/>
    <w:rsid w:val="006565E8"/>
    <w:rsid w:val="00681069"/>
    <w:rsid w:val="006A7188"/>
    <w:rsid w:val="006B43C1"/>
    <w:rsid w:val="006D0019"/>
    <w:rsid w:val="006E7743"/>
    <w:rsid w:val="00720212"/>
    <w:rsid w:val="00752499"/>
    <w:rsid w:val="00782A05"/>
    <w:rsid w:val="0079406F"/>
    <w:rsid w:val="007B1D36"/>
    <w:rsid w:val="007D1DC3"/>
    <w:rsid w:val="007D7616"/>
    <w:rsid w:val="007E3E45"/>
    <w:rsid w:val="007F5DE7"/>
    <w:rsid w:val="00830412"/>
    <w:rsid w:val="00835050"/>
    <w:rsid w:val="00841D11"/>
    <w:rsid w:val="00860E03"/>
    <w:rsid w:val="008C1A9C"/>
    <w:rsid w:val="008D622D"/>
    <w:rsid w:val="008E7B46"/>
    <w:rsid w:val="00923133"/>
    <w:rsid w:val="009321A8"/>
    <w:rsid w:val="009615A6"/>
    <w:rsid w:val="00981D3C"/>
    <w:rsid w:val="00A13E26"/>
    <w:rsid w:val="00A255BF"/>
    <w:rsid w:val="00A70A38"/>
    <w:rsid w:val="00A71B8A"/>
    <w:rsid w:val="00AC36F9"/>
    <w:rsid w:val="00AD3A16"/>
    <w:rsid w:val="00AE2E0B"/>
    <w:rsid w:val="00AE3A73"/>
    <w:rsid w:val="00B27682"/>
    <w:rsid w:val="00B27B1D"/>
    <w:rsid w:val="00B37D1A"/>
    <w:rsid w:val="00B647E3"/>
    <w:rsid w:val="00B83DC8"/>
    <w:rsid w:val="00B949E2"/>
    <w:rsid w:val="00BA0889"/>
    <w:rsid w:val="00BA20EF"/>
    <w:rsid w:val="00BA2AB0"/>
    <w:rsid w:val="00BC177F"/>
    <w:rsid w:val="00BD440C"/>
    <w:rsid w:val="00BE08C4"/>
    <w:rsid w:val="00BE2E3D"/>
    <w:rsid w:val="00BF667A"/>
    <w:rsid w:val="00C06B3A"/>
    <w:rsid w:val="00C419E6"/>
    <w:rsid w:val="00CC4D2F"/>
    <w:rsid w:val="00CD5DC1"/>
    <w:rsid w:val="00D62A1E"/>
    <w:rsid w:val="00D73FA7"/>
    <w:rsid w:val="00DA58BD"/>
    <w:rsid w:val="00DC3E9A"/>
    <w:rsid w:val="00E0760C"/>
    <w:rsid w:val="00E16AC6"/>
    <w:rsid w:val="00E31244"/>
    <w:rsid w:val="00E57E14"/>
    <w:rsid w:val="00E82C2F"/>
    <w:rsid w:val="00E833EA"/>
    <w:rsid w:val="00EA0DB3"/>
    <w:rsid w:val="00EA287E"/>
    <w:rsid w:val="00EC1E51"/>
    <w:rsid w:val="00ED79AC"/>
    <w:rsid w:val="00EE5681"/>
    <w:rsid w:val="00EF232D"/>
    <w:rsid w:val="00EF301E"/>
    <w:rsid w:val="00F333C1"/>
    <w:rsid w:val="00F75A32"/>
    <w:rsid w:val="00F97F51"/>
    <w:rsid w:val="00FB2B16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D9383"/>
  <w15:docId w15:val="{1D8F6B9E-A284-4599-B1DB-284D58167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FA7"/>
    <w:pPr>
      <w:spacing w:before="60" w:after="60"/>
      <w:jc w:val="lowKashida"/>
    </w:pPr>
    <w:rPr>
      <w:rFonts w:ascii="Arial" w:hAnsi="Arial" w:cs="Traditional Arabic"/>
      <w:sz w:val="22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73FA7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73FA7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73FA7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73FA7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73FA7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73FA7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73FA7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73FA7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73FA7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D73FA7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paragraph" w:styleId="Footer">
    <w:name w:val="footer"/>
    <w:basedOn w:val="Normal"/>
    <w:link w:val="FooterChar"/>
    <w:rsid w:val="00D73FA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73FA7"/>
    <w:rPr>
      <w:rFonts w:cs="Braggadocio"/>
    </w:rPr>
  </w:style>
  <w:style w:type="paragraph" w:styleId="BodyText2">
    <w:name w:val="Body Text 2"/>
    <w:basedOn w:val="Normal"/>
    <w:link w:val="BodyText2Char"/>
    <w:rsid w:val="00D73FA7"/>
    <w:pPr>
      <w:ind w:left="1134" w:hanging="1134"/>
    </w:pPr>
    <w:rPr>
      <w:sz w:val="28"/>
      <w:szCs w:val="33"/>
    </w:rPr>
  </w:style>
  <w:style w:type="paragraph" w:styleId="BodyTextIndent2">
    <w:name w:val="Body Text Indent 2"/>
    <w:basedOn w:val="Normal"/>
    <w:link w:val="BodyTextIndent2Char"/>
    <w:rsid w:val="00D73FA7"/>
    <w:pPr>
      <w:ind w:left="993" w:hanging="993"/>
    </w:pPr>
    <w:rPr>
      <w:sz w:val="28"/>
      <w:szCs w:val="33"/>
    </w:rPr>
  </w:style>
  <w:style w:type="paragraph" w:styleId="Header">
    <w:name w:val="header"/>
    <w:basedOn w:val="Normal"/>
    <w:link w:val="HeaderChar"/>
    <w:rsid w:val="00D73FA7"/>
    <w:pPr>
      <w:tabs>
        <w:tab w:val="center" w:pos="4320"/>
        <w:tab w:val="right" w:pos="8640"/>
      </w:tabs>
    </w:pPr>
  </w:style>
  <w:style w:type="character" w:styleId="CommentReference">
    <w:name w:val="annotation reference"/>
    <w:basedOn w:val="DefaultParagraphFont"/>
    <w:semiHidden/>
    <w:rsid w:val="00D73FA7"/>
    <w:rPr>
      <w:sz w:val="16"/>
      <w:szCs w:val="19"/>
    </w:rPr>
  </w:style>
  <w:style w:type="paragraph" w:styleId="CommentText">
    <w:name w:val="annotation text"/>
    <w:basedOn w:val="Normal"/>
    <w:link w:val="CommentTextChar"/>
    <w:semiHidden/>
    <w:rsid w:val="00D73FA7"/>
    <w:rPr>
      <w:rFonts w:ascii="England Hand DB" w:hAnsi="England Hand DB"/>
    </w:rPr>
  </w:style>
  <w:style w:type="paragraph" w:styleId="TOC1">
    <w:name w:val="toc 1"/>
    <w:basedOn w:val="Normal"/>
    <w:next w:val="Normal"/>
    <w:semiHidden/>
    <w:rsid w:val="00D73FA7"/>
    <w:pPr>
      <w:tabs>
        <w:tab w:val="right" w:leader="dot" w:pos="8505"/>
      </w:tabs>
    </w:pPr>
  </w:style>
  <w:style w:type="paragraph" w:styleId="TOC2">
    <w:name w:val="toc 2"/>
    <w:basedOn w:val="Normal"/>
    <w:next w:val="Normal"/>
    <w:semiHidden/>
    <w:rsid w:val="00D73FA7"/>
    <w:pPr>
      <w:tabs>
        <w:tab w:val="right" w:leader="dot" w:pos="8505"/>
      </w:tabs>
      <w:ind w:left="200"/>
    </w:pPr>
  </w:style>
  <w:style w:type="paragraph" w:styleId="TOC3">
    <w:name w:val="toc 3"/>
    <w:basedOn w:val="Normal"/>
    <w:next w:val="Normal"/>
    <w:semiHidden/>
    <w:rsid w:val="00D73FA7"/>
    <w:pPr>
      <w:tabs>
        <w:tab w:val="right" w:leader="dot" w:pos="8505"/>
      </w:tabs>
      <w:ind w:left="400"/>
    </w:pPr>
  </w:style>
  <w:style w:type="paragraph" w:styleId="TOC4">
    <w:name w:val="toc 4"/>
    <w:basedOn w:val="Normal"/>
    <w:next w:val="Normal"/>
    <w:semiHidden/>
    <w:rsid w:val="00D73FA7"/>
    <w:pPr>
      <w:tabs>
        <w:tab w:val="right" w:leader="dot" w:pos="8505"/>
      </w:tabs>
      <w:ind w:left="600"/>
    </w:pPr>
  </w:style>
  <w:style w:type="paragraph" w:styleId="TOC5">
    <w:name w:val="toc 5"/>
    <w:basedOn w:val="Normal"/>
    <w:next w:val="Normal"/>
    <w:semiHidden/>
    <w:rsid w:val="00D73FA7"/>
    <w:pPr>
      <w:tabs>
        <w:tab w:val="right" w:leader="dot" w:pos="8505"/>
      </w:tabs>
      <w:ind w:left="800"/>
    </w:pPr>
  </w:style>
  <w:style w:type="paragraph" w:styleId="TOC6">
    <w:name w:val="toc 6"/>
    <w:basedOn w:val="Normal"/>
    <w:next w:val="Normal"/>
    <w:semiHidden/>
    <w:rsid w:val="00D73FA7"/>
    <w:pPr>
      <w:tabs>
        <w:tab w:val="right" w:leader="dot" w:pos="8505"/>
      </w:tabs>
      <w:ind w:left="1000"/>
    </w:pPr>
  </w:style>
  <w:style w:type="paragraph" w:styleId="TOC7">
    <w:name w:val="toc 7"/>
    <w:basedOn w:val="Normal"/>
    <w:next w:val="Normal"/>
    <w:semiHidden/>
    <w:rsid w:val="00D73FA7"/>
    <w:pPr>
      <w:tabs>
        <w:tab w:val="right" w:leader="dot" w:pos="8505"/>
      </w:tabs>
      <w:ind w:left="1200"/>
    </w:pPr>
  </w:style>
  <w:style w:type="paragraph" w:styleId="TOC8">
    <w:name w:val="toc 8"/>
    <w:basedOn w:val="Normal"/>
    <w:next w:val="Normal"/>
    <w:semiHidden/>
    <w:rsid w:val="00D73FA7"/>
    <w:pPr>
      <w:tabs>
        <w:tab w:val="right" w:leader="dot" w:pos="8505"/>
      </w:tabs>
      <w:ind w:left="1400"/>
    </w:pPr>
  </w:style>
  <w:style w:type="paragraph" w:styleId="TOC9">
    <w:name w:val="toc 9"/>
    <w:basedOn w:val="Normal"/>
    <w:next w:val="Normal"/>
    <w:semiHidden/>
    <w:rsid w:val="00D73FA7"/>
    <w:pPr>
      <w:tabs>
        <w:tab w:val="right" w:leader="dot" w:pos="8505"/>
      </w:tabs>
      <w:ind w:left="1600"/>
    </w:pPr>
  </w:style>
  <w:style w:type="paragraph" w:styleId="FootnoteText">
    <w:name w:val="footnote text"/>
    <w:basedOn w:val="Normal"/>
    <w:link w:val="FootnoteTextChar"/>
    <w:semiHidden/>
    <w:rsid w:val="00D73FA7"/>
    <w:rPr>
      <w:sz w:val="20"/>
      <w:szCs w:val="24"/>
    </w:rPr>
  </w:style>
  <w:style w:type="character" w:styleId="FootnoteReference">
    <w:name w:val="footnote reference"/>
    <w:basedOn w:val="DefaultParagraphFont"/>
    <w:semiHidden/>
    <w:rsid w:val="00D73FA7"/>
    <w:rPr>
      <w:vertAlign w:val="superscript"/>
    </w:rPr>
  </w:style>
  <w:style w:type="paragraph" w:customStyle="1" w:styleId="periode">
    <w:name w:val="periode"/>
    <w:basedOn w:val="Title"/>
    <w:rsid w:val="00D73FA7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73FA7"/>
    <w:pPr>
      <w:spacing w:before="0" w:after="0"/>
      <w:ind w:left="993" w:hanging="567"/>
    </w:pPr>
    <w:rPr>
      <w:lang w:eastAsia="fr-FR"/>
    </w:rPr>
  </w:style>
  <w:style w:type="paragraph" w:styleId="BodyTextIndent3">
    <w:name w:val="Body Text Indent 3"/>
    <w:basedOn w:val="Normal"/>
    <w:link w:val="BodyTextIndent3Char"/>
    <w:rsid w:val="00D73FA7"/>
    <w:pPr>
      <w:spacing w:before="0" w:after="0"/>
      <w:ind w:left="567" w:hanging="283"/>
    </w:pPr>
    <w:rPr>
      <w:lang w:eastAsia="fr-FR"/>
    </w:rPr>
  </w:style>
  <w:style w:type="paragraph" w:customStyle="1" w:styleId="N">
    <w:name w:val="N"/>
    <w:basedOn w:val="Normal"/>
    <w:rsid w:val="00D73FA7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73FA7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73FA7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73FA7"/>
    <w:pPr>
      <w:spacing w:before="0" w:after="0"/>
      <w:jc w:val="left"/>
    </w:pPr>
    <w:rPr>
      <w:sz w:val="18"/>
      <w:szCs w:val="21"/>
      <w:lang w:eastAsia="fr-FR"/>
    </w:rPr>
  </w:style>
  <w:style w:type="paragraph" w:styleId="BodyText">
    <w:name w:val="Body Text"/>
    <w:basedOn w:val="Normal"/>
    <w:link w:val="BodyTextChar"/>
    <w:rsid w:val="00D73FA7"/>
    <w:pPr>
      <w:widowControl w:val="0"/>
      <w:spacing w:before="0" w:after="0"/>
    </w:pPr>
    <w:rPr>
      <w:lang w:val="en-US"/>
    </w:rPr>
  </w:style>
  <w:style w:type="paragraph" w:styleId="BlockText">
    <w:name w:val="Block Text"/>
    <w:basedOn w:val="Normal"/>
    <w:rsid w:val="00D73FA7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73FA7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table" w:styleId="TableGrid">
    <w:name w:val="Table Grid"/>
    <w:basedOn w:val="TableNormal"/>
    <w:rsid w:val="00BD44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BD440C"/>
    <w:rPr>
      <w:color w:val="0000FF"/>
      <w:u w:val="single"/>
    </w:rPr>
  </w:style>
  <w:style w:type="paragraph" w:customStyle="1" w:styleId="font2">
    <w:name w:val="font2"/>
    <w:basedOn w:val="Normal"/>
    <w:rsid w:val="00BD440C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BD440C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BD440C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BD440C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120E40"/>
    <w:rPr>
      <w:i/>
      <w:iCs/>
    </w:rPr>
  </w:style>
  <w:style w:type="paragraph" w:styleId="ListParagraph">
    <w:name w:val="List Paragraph"/>
    <w:basedOn w:val="Normal"/>
    <w:uiPriority w:val="34"/>
    <w:qFormat/>
    <w:rsid w:val="00830412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  <w:style w:type="character" w:customStyle="1" w:styleId="Heading1Char">
    <w:name w:val="Heading 1 Char"/>
    <w:basedOn w:val="DefaultParagraphFont"/>
    <w:link w:val="Heading1"/>
    <w:rsid w:val="00F75A32"/>
    <w:rPr>
      <w:rFonts w:ascii="Arial Rounded MT Bold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F75A32"/>
    <w:rPr>
      <w:rFonts w:ascii="Arial Rounded MT Bold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F75A32"/>
    <w:rPr>
      <w:rFonts w:ascii="Arial" w:hAnsi="Arial" w:cs="Traditional Arabic"/>
      <w:b/>
      <w:bCs/>
      <w:sz w:val="24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F75A32"/>
    <w:rPr>
      <w:rFonts w:ascii="Arial Rounded MT Bold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FooterChar">
    <w:name w:val="Footer Char"/>
    <w:basedOn w:val="DefaultParagraphFont"/>
    <w:link w:val="Footer"/>
    <w:rsid w:val="00F75A32"/>
    <w:rPr>
      <w:rFonts w:ascii="Arial" w:hAnsi="Arial" w:cs="Traditional Arabic"/>
      <w:sz w:val="22"/>
      <w:szCs w:val="26"/>
      <w:lang w:val="fr-FR" w:bidi="ar-LB"/>
    </w:rPr>
  </w:style>
  <w:style w:type="character" w:customStyle="1" w:styleId="BodyTextIndentChar">
    <w:name w:val="Body Text Indent Char"/>
    <w:basedOn w:val="DefaultParagraphFont"/>
    <w:link w:val="BodyTextIndent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BodyTextIndent3Char">
    <w:name w:val="Body Text Indent 3 Char"/>
    <w:basedOn w:val="DefaultParagraphFont"/>
    <w:link w:val="BodyTextIndent3"/>
    <w:rsid w:val="002D2074"/>
    <w:rPr>
      <w:rFonts w:ascii="Arial" w:hAnsi="Arial" w:cs="Traditional Arabic"/>
      <w:sz w:val="22"/>
      <w:szCs w:val="26"/>
      <w:lang w:val="fr-FR" w:eastAsia="fr-FR" w:bidi="ar-LB"/>
    </w:rPr>
  </w:style>
  <w:style w:type="character" w:customStyle="1" w:styleId="HeaderChar">
    <w:name w:val="Header Char"/>
    <w:basedOn w:val="DefaultParagraphFont"/>
    <w:link w:val="Header"/>
    <w:rsid w:val="00AC36F9"/>
    <w:rPr>
      <w:rFonts w:ascii="Arial" w:hAnsi="Arial" w:cs="Traditional Arabic"/>
      <w:sz w:val="22"/>
      <w:szCs w:val="26"/>
      <w:lang w:val="fr-FR" w:bidi="ar-LB"/>
    </w:rPr>
  </w:style>
  <w:style w:type="character" w:customStyle="1" w:styleId="Heading4Char">
    <w:name w:val="Heading 4 Char"/>
    <w:basedOn w:val="DefaultParagraphFont"/>
    <w:link w:val="Heading4"/>
    <w:rsid w:val="00981D3C"/>
    <w:rPr>
      <w:rFonts w:ascii="Arial" w:hAnsi="Arial" w:cs="Traditional Arabic"/>
      <w:b/>
      <w:bCs/>
      <w:i/>
      <w:iCs/>
      <w:sz w:val="22"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981D3C"/>
    <w:rPr>
      <w:rFonts w:ascii="Arial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981D3C"/>
    <w:rPr>
      <w:rFonts w:ascii="Arial Rounded MT Bold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981D3C"/>
    <w:rPr>
      <w:rFonts w:ascii="Arial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981D3C"/>
    <w:rPr>
      <w:rFonts w:ascii="Arial" w:hAnsi="Arial" w:cs="Mudir MT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981D3C"/>
    <w:rPr>
      <w:rFonts w:ascii="Braggadocio" w:hAnsi="Braggadocio" w:cs="Traditional Arabic"/>
      <w:sz w:val="32"/>
      <w:szCs w:val="38"/>
      <w:lang w:val="fr-FR" w:bidi="ar-LB"/>
    </w:rPr>
  </w:style>
  <w:style w:type="character" w:customStyle="1" w:styleId="BodyText2Char">
    <w:name w:val="Body Text 2 Char"/>
    <w:basedOn w:val="DefaultParagraphFont"/>
    <w:link w:val="BodyTex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BodyTextIndent2Char">
    <w:name w:val="Body Text Indent 2 Char"/>
    <w:basedOn w:val="DefaultParagraphFont"/>
    <w:link w:val="BodyTextIndent2"/>
    <w:rsid w:val="00981D3C"/>
    <w:rPr>
      <w:rFonts w:ascii="Arial" w:hAnsi="Arial" w:cs="Traditional Arabic"/>
      <w:sz w:val="28"/>
      <w:szCs w:val="33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981D3C"/>
    <w:rPr>
      <w:rFonts w:ascii="England Hand DB" w:hAnsi="England Hand DB" w:cs="Traditional Arabic"/>
      <w:sz w:val="22"/>
      <w:szCs w:val="26"/>
      <w:lang w:val="fr-FR" w:bidi="ar-LB"/>
    </w:rPr>
  </w:style>
  <w:style w:type="character" w:customStyle="1" w:styleId="FootnoteTextChar">
    <w:name w:val="Footnote Text Char"/>
    <w:basedOn w:val="DefaultParagraphFont"/>
    <w:link w:val="FootnoteText"/>
    <w:semiHidden/>
    <w:rsid w:val="00981D3C"/>
    <w:rPr>
      <w:rFonts w:ascii="Arial" w:hAnsi="Arial" w:cs="Traditional Arabic"/>
      <w:szCs w:val="24"/>
      <w:lang w:val="fr-FR" w:bidi="ar-LB"/>
    </w:rPr>
  </w:style>
  <w:style w:type="character" w:customStyle="1" w:styleId="BodyText3Char">
    <w:name w:val="Body Text 3 Char"/>
    <w:basedOn w:val="DefaultParagraphFont"/>
    <w:link w:val="BodyText3"/>
    <w:rsid w:val="00981D3C"/>
    <w:rPr>
      <w:rFonts w:ascii="Arial" w:hAnsi="Arial" w:cs="Traditional Arabic"/>
      <w:sz w:val="18"/>
      <w:szCs w:val="21"/>
      <w:lang w:val="fr-FR" w:eastAsia="fr-FR" w:bidi="ar-LB"/>
    </w:rPr>
  </w:style>
  <w:style w:type="character" w:customStyle="1" w:styleId="BodyTextChar">
    <w:name w:val="Body Text Char"/>
    <w:basedOn w:val="DefaultParagraphFont"/>
    <w:link w:val="BodyText"/>
    <w:rsid w:val="00981D3C"/>
    <w:rPr>
      <w:rFonts w:ascii="Arial" w:hAnsi="Arial" w:cs="Traditional Arabic"/>
      <w:sz w:val="22"/>
      <w:szCs w:val="26"/>
      <w:lang w:bidi="ar-L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3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0F2B5-DF87-4E8F-840F-016D23474E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3</Pages>
  <Words>1030</Words>
  <Characters>5876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République Libanaise</vt:lpstr>
    </vt:vector>
  </TitlesOfParts>
  <Company>Unknown Organization</Company>
  <LinksUpToDate>false</LinksUpToDate>
  <CharactersWithSpaces>6893</CharactersWithSpaces>
  <SharedDoc>false</SharedDoc>
  <HLinks>
    <vt:vector size="60" baseType="variant">
      <vt:variant>
        <vt:i4>851983</vt:i4>
      </vt:variant>
      <vt:variant>
        <vt:i4>27</vt:i4>
      </vt:variant>
      <vt:variant>
        <vt:i4>0</vt:i4>
      </vt:variant>
      <vt:variant>
        <vt:i4>5</vt:i4>
      </vt:variant>
      <vt:variant>
        <vt:lpwstr>http://www.cchsa.ca/</vt:lpwstr>
      </vt:variant>
      <vt:variant>
        <vt:lpwstr/>
      </vt:variant>
      <vt:variant>
        <vt:i4>2424873</vt:i4>
      </vt:variant>
      <vt:variant>
        <vt:i4>24</vt:i4>
      </vt:variant>
      <vt:variant>
        <vt:i4>0</vt:i4>
      </vt:variant>
      <vt:variant>
        <vt:i4>5</vt:i4>
      </vt:variant>
      <vt:variant>
        <vt:lpwstr>http://www.achs.org.au/</vt:lpwstr>
      </vt:variant>
      <vt:variant>
        <vt:lpwstr/>
      </vt:variant>
      <vt:variant>
        <vt:i4>6029342</vt:i4>
      </vt:variant>
      <vt:variant>
        <vt:i4>21</vt:i4>
      </vt:variant>
      <vt:variant>
        <vt:i4>0</vt:i4>
      </vt:variant>
      <vt:variant>
        <vt:i4>5</vt:i4>
      </vt:variant>
      <vt:variant>
        <vt:lpwstr>http://www.qiproject.org/</vt:lpwstr>
      </vt:variant>
      <vt:variant>
        <vt:lpwstr/>
      </vt:variant>
      <vt:variant>
        <vt:i4>2818169</vt:i4>
      </vt:variant>
      <vt:variant>
        <vt:i4>18</vt:i4>
      </vt:variant>
      <vt:variant>
        <vt:i4>0</vt:i4>
      </vt:variant>
      <vt:variant>
        <vt:i4>5</vt:i4>
      </vt:variant>
      <vt:variant>
        <vt:lpwstr>http://www.oha.com/</vt:lpwstr>
      </vt:variant>
      <vt:variant>
        <vt:lpwstr/>
      </vt:variant>
      <vt:variant>
        <vt:i4>4259847</vt:i4>
      </vt:variant>
      <vt:variant>
        <vt:i4>15</vt:i4>
      </vt:variant>
      <vt:variant>
        <vt:i4>0</vt:i4>
      </vt:variant>
      <vt:variant>
        <vt:i4>5</vt:i4>
      </vt:variant>
      <vt:variant>
        <vt:lpwstr>http://www.qualitymeasures.ahrq.gov/</vt:lpwstr>
      </vt:variant>
      <vt:variant>
        <vt:lpwstr/>
      </vt:variant>
      <vt:variant>
        <vt:i4>4653146</vt:i4>
      </vt:variant>
      <vt:variant>
        <vt:i4>12</vt:i4>
      </vt:variant>
      <vt:variant>
        <vt:i4>0</vt:i4>
      </vt:variant>
      <vt:variant>
        <vt:i4>5</vt:i4>
      </vt:variant>
      <vt:variant>
        <vt:lpwstr>http://www.ncqa.org/</vt:lpwstr>
      </vt:variant>
      <vt:variant>
        <vt:lpwstr/>
      </vt:variant>
      <vt:variant>
        <vt:i4>4390936</vt:i4>
      </vt:variant>
      <vt:variant>
        <vt:i4>9</vt:i4>
      </vt:variant>
      <vt:variant>
        <vt:i4>0</vt:i4>
      </vt:variant>
      <vt:variant>
        <vt:i4>5</vt:i4>
      </vt:variant>
      <vt:variant>
        <vt:lpwstr>http://www.jacho.com/</vt:lpwstr>
      </vt:variant>
      <vt:variant>
        <vt:lpwstr/>
      </vt:variant>
      <vt:variant>
        <vt:i4>5636168</vt:i4>
      </vt:variant>
      <vt:variant>
        <vt:i4>6</vt:i4>
      </vt:variant>
      <vt:variant>
        <vt:i4>0</vt:i4>
      </vt:variant>
      <vt:variant>
        <vt:i4>5</vt:i4>
      </vt:variant>
      <vt:variant>
        <vt:lpwstr>http://www.interrai.org/</vt:lpwstr>
      </vt:variant>
      <vt:variant>
        <vt:lpwstr/>
      </vt:variant>
      <vt:variant>
        <vt:i4>1310787</vt:i4>
      </vt:variant>
      <vt:variant>
        <vt:i4>3</vt:i4>
      </vt:variant>
      <vt:variant>
        <vt:i4>0</vt:i4>
      </vt:variant>
      <vt:variant>
        <vt:i4>5</vt:i4>
      </vt:variant>
      <vt:variant>
        <vt:lpwstr>http://www.iaqua.org.au/</vt:lpwstr>
      </vt:variant>
      <vt:variant>
        <vt:lpwstr/>
      </vt:variant>
      <vt:variant>
        <vt:i4>5636184</vt:i4>
      </vt:variant>
      <vt:variant>
        <vt:i4>0</vt:i4>
      </vt:variant>
      <vt:variant>
        <vt:i4>0</vt:i4>
      </vt:variant>
      <vt:variant>
        <vt:i4>5</vt:i4>
      </vt:variant>
      <vt:variant>
        <vt:lpwstr>http://www.ahrq.gov/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République Libanaise</dc:title>
  <dc:creator>AL ZAKIRA</dc:creator>
  <cp:lastModifiedBy>ed</cp:lastModifiedBy>
  <cp:revision>26</cp:revision>
  <cp:lastPrinted>2012-09-17T12:43:00Z</cp:lastPrinted>
  <dcterms:created xsi:type="dcterms:W3CDTF">2014-02-23T14:17:00Z</dcterms:created>
  <dcterms:modified xsi:type="dcterms:W3CDTF">2019-07-25T11:25:00Z</dcterms:modified>
</cp:coreProperties>
</file>